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37" w:rsidRPr="00DF3E37" w:rsidRDefault="00DF3E37" w:rsidP="00DF3E3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Α Ν Α Κ Ο Ι Ν Ω Σ Η </w:t>
      </w:r>
    </w:p>
    <w:p w:rsidR="00DF3E37" w:rsidRPr="00DF3E37" w:rsidRDefault="00DF3E37" w:rsidP="00DF3E3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ΣΧΕΤΙΚΑ ΜΕ ΑΝΑΝΕΩΣΗ ΕΓΓΡΑΦΩΝ ΓΙΑ ΤΟ ΕΑΡΙΝΟ ΕΞΑΜΗΝΟ ΑΚΑΔ. ΕΤΟΥΣ </w:t>
      </w:r>
      <w:r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>2014-15</w:t>
      </w:r>
    </w:p>
    <w:p w:rsidR="00DF3E37" w:rsidRP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Σας γνωρίζουμε ότι οι επανεγγραφές (ηλεκτρονικές δηλώσεις μαθημάτων) για το εαρινό εξάμηνο του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ακαδ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. έτους </w:t>
      </w:r>
      <w:r>
        <w:rPr>
          <w:rFonts w:ascii="Helvetica" w:eastAsia="Times New Roman" w:hAnsi="Helvetica" w:cs="Helvetica"/>
          <w:sz w:val="15"/>
          <w:szCs w:val="15"/>
          <w:lang w:eastAsia="el-GR"/>
        </w:rPr>
        <w:t xml:space="preserve">2014-15 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 θα ξεκινήσουν από</w:t>
      </w:r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  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 </w:t>
      </w:r>
      <w:r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ΔΕΥΤΕΡΑ 23-2-2015 </w:t>
      </w: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 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και θα ολοκληρωθούν </w:t>
      </w:r>
      <w:r>
        <w:rPr>
          <w:rFonts w:ascii="Helvetica" w:eastAsia="Times New Roman" w:hAnsi="Helvetica" w:cs="Helvetica"/>
          <w:sz w:val="15"/>
          <w:szCs w:val="15"/>
          <w:lang w:eastAsia="el-GR"/>
        </w:rPr>
        <w:t xml:space="preserve">την </w:t>
      </w:r>
      <w:r w:rsidRPr="00DF3E37">
        <w:rPr>
          <w:rFonts w:ascii="Helvetica" w:eastAsia="Times New Roman" w:hAnsi="Helvetica" w:cs="Helvetica"/>
          <w:b/>
          <w:sz w:val="15"/>
          <w:szCs w:val="15"/>
          <w:lang w:eastAsia="el-GR"/>
        </w:rPr>
        <w:t>ΤΡΙΤΗ 10-3-2015</w:t>
      </w: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. </w:t>
      </w:r>
    </w:p>
    <w:p w:rsidR="00DF3E37" w:rsidRP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Για την ορθή διαδικασία της ηλεκτρονικής δήλωσης των μαθημάτων ακολουθήστε τα παρακάτω βήματα / επιλογές:</w:t>
      </w:r>
    </w:p>
    <w:p w:rsidR="00DF3E37" w:rsidRPr="00DF3E37" w:rsidRDefault="00DF3E37" w:rsidP="00DF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Ηλεκτρονική σελίδα του ΤΕΙ-Στερεάς Ελλάδας στην διεύθυνση </w:t>
      </w:r>
      <w:hyperlink r:id="rId6" w:history="1"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val="en-US" w:eastAsia="el-GR"/>
          </w:rPr>
          <w:t>www</w:t>
        </w:r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eastAsia="el-GR"/>
          </w:rPr>
          <w:t>.</w:t>
        </w:r>
        <w:proofErr w:type="spellStart"/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val="en-US" w:eastAsia="el-GR"/>
          </w:rPr>
          <w:t>teiste</w:t>
        </w:r>
        <w:proofErr w:type="spellEnd"/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eastAsia="el-GR"/>
          </w:rPr>
          <w:t>.</w:t>
        </w:r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val="en-US" w:eastAsia="el-GR"/>
          </w:rPr>
          <w:t>gr</w:t>
        </w:r>
      </w:hyperlink>
      <w:r w:rsidRPr="00DF3E37">
        <w:rPr>
          <w:rFonts w:ascii="Helvetica" w:eastAsia="Times New Roman" w:hAnsi="Helvetica" w:cs="Helvetica"/>
          <w:b/>
          <w:bCs/>
          <w:sz w:val="15"/>
          <w:szCs w:val="15"/>
          <w:u w:val="single"/>
          <w:lang w:eastAsia="el-GR"/>
        </w:rPr>
        <w:t xml:space="preserve"> </w:t>
      </w:r>
    </w:p>
    <w:p w:rsidR="00DF3E37" w:rsidRPr="00DF3E37" w:rsidRDefault="00DF3E37" w:rsidP="00DF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Από δεξιά επιλέγετε </w:t>
      </w: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→ 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Ηλεκτρονική Γραμματεία Σπουδαστών </w:t>
      </w:r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         </w:t>
      </w:r>
      <w:hyperlink r:id="rId7" w:history="1"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val="en-US" w:eastAsia="el-GR"/>
          </w:rPr>
          <w:t>https</w:t>
        </w:r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eastAsia="el-GR"/>
          </w:rPr>
          <w:t>://</w:t>
        </w:r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val="en-US" w:eastAsia="el-GR"/>
          </w:rPr>
          <w:t>e</w:t>
        </w:r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eastAsia="el-GR"/>
          </w:rPr>
          <w:t>-</w:t>
        </w:r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val="en-US" w:eastAsia="el-GR"/>
          </w:rPr>
          <w:t>gram</w:t>
        </w:r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eastAsia="el-GR"/>
          </w:rPr>
          <w:t>.</w:t>
        </w:r>
        <w:proofErr w:type="spellStart"/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val="en-US" w:eastAsia="el-GR"/>
          </w:rPr>
          <w:t>teilam</w:t>
        </w:r>
        <w:proofErr w:type="spellEnd"/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eastAsia="el-GR"/>
          </w:rPr>
          <w:t>.</w:t>
        </w:r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val="en-US" w:eastAsia="el-GR"/>
          </w:rPr>
          <w:t>gr</w:t>
        </w:r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eastAsia="el-GR"/>
          </w:rPr>
          <w:t>/</w:t>
        </w:r>
        <w:proofErr w:type="spellStart"/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val="en-US" w:eastAsia="el-GR"/>
          </w:rPr>
          <w:t>unistudent</w:t>
        </w:r>
        <w:proofErr w:type="spellEnd"/>
        <w:r w:rsidRPr="00DF3E37">
          <w:rPr>
            <w:rFonts w:ascii="Helvetica" w:eastAsia="Times New Roman" w:hAnsi="Helvetica" w:cs="Helvetica"/>
            <w:b/>
            <w:bCs/>
            <w:color w:val="0000FF"/>
            <w:sz w:val="15"/>
            <w:szCs w:val="15"/>
            <w:u w:val="single"/>
            <w:lang w:eastAsia="el-GR"/>
          </w:rPr>
          <w:t>/</w:t>
        </w:r>
      </w:hyperlink>
    </w:p>
    <w:p w:rsidR="00DF3E37" w:rsidRPr="00DF3E37" w:rsidRDefault="00DF3E37" w:rsidP="00DF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Συμπληρώνετε το όνομα χρήστη και τον κωδικό πρόσβασης που σας έχει δοθεί από τη Γραμματεία</w:t>
      </w:r>
    </w:p>
    <w:p w:rsidR="00DF3E37" w:rsidRPr="00DF3E37" w:rsidRDefault="00DF3E37" w:rsidP="00DF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val="en-US" w:eastAsia="el-GR"/>
        </w:rPr>
      </w:pP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Είσοδος</w:t>
      </w:r>
      <w:proofErr w:type="spellEnd"/>
    </w:p>
    <w:p w:rsidR="00DF3E37" w:rsidRPr="00DF3E37" w:rsidRDefault="00DF3E37" w:rsidP="00DF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val="en-US" w:eastAsia="el-GR"/>
        </w:rPr>
      </w:pP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Δηλώσεις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 xml:space="preserve">/Η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δήλωσή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 xml:space="preserve">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μου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/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Προσθήκη</w:t>
      </w:r>
      <w:proofErr w:type="spellEnd"/>
    </w:p>
    <w:p w:rsidR="00DF3E37" w:rsidRPr="00DF3E37" w:rsidRDefault="00DF3E37" w:rsidP="00DF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Επιλέγεται τα μαθήματα που θέλετε να προστεθούν στη δήλωσή σας.</w:t>
      </w:r>
    </w:p>
    <w:p w:rsidR="00DF3E37" w:rsidRPr="00DF3E37" w:rsidRDefault="00DF3E37" w:rsidP="00DF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val="en-US" w:eastAsia="el-GR"/>
        </w:rPr>
      </w:pP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Εισ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 xml:space="preserve">αγωγή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στη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 xml:space="preserve">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δήλωση</w:t>
      </w:r>
      <w:proofErr w:type="spellEnd"/>
    </w:p>
    <w:p w:rsidR="00DF3E37" w:rsidRPr="00DF3E37" w:rsidRDefault="00DF3E37" w:rsidP="00DF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val="en-US"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Απ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οστολή</w:t>
      </w:r>
      <w:proofErr w:type="spellEnd"/>
    </w:p>
    <w:p w:rsidR="00DF3E37" w:rsidRP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val="en-US" w:eastAsia="el-GR"/>
        </w:rPr>
      </w:pPr>
      <w:r w:rsidRPr="00DF3E37">
        <w:rPr>
          <w:rFonts w:ascii="Helvetica" w:eastAsia="Times New Roman" w:hAnsi="Helvetica" w:cs="Helvetica"/>
          <w:b/>
          <w:bCs/>
          <w:sz w:val="15"/>
          <w:szCs w:val="15"/>
          <w:u w:val="single"/>
          <w:lang w:val="en-US" w:eastAsia="el-GR"/>
        </w:rPr>
        <w:t>Παρα</w:t>
      </w:r>
      <w:proofErr w:type="spellStart"/>
      <w:r w:rsidRPr="00DF3E37">
        <w:rPr>
          <w:rFonts w:ascii="Helvetica" w:eastAsia="Times New Roman" w:hAnsi="Helvetica" w:cs="Helvetica"/>
          <w:b/>
          <w:bCs/>
          <w:sz w:val="15"/>
          <w:szCs w:val="15"/>
          <w:u w:val="single"/>
          <w:lang w:val="en-US" w:eastAsia="el-GR"/>
        </w:rPr>
        <w:t>τήρηση</w:t>
      </w:r>
      <w:proofErr w:type="spellEnd"/>
      <w:r w:rsidRPr="00DF3E37">
        <w:rPr>
          <w:rFonts w:ascii="Helvetica" w:eastAsia="Times New Roman" w:hAnsi="Helvetica" w:cs="Helvetica"/>
          <w:b/>
          <w:bCs/>
          <w:sz w:val="15"/>
          <w:szCs w:val="15"/>
          <w:u w:val="single"/>
          <w:lang w:val="en-US" w:eastAsia="el-GR"/>
        </w:rPr>
        <w:t xml:space="preserve">: </w:t>
      </w:r>
    </w:p>
    <w:p w:rsidR="00DF3E37" w:rsidRP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Η ολοκλήρωση της δήλωσης γίνεται με </w:t>
      </w: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αποθήκευση 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και την </w:t>
      </w: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Αποστολή 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της. Δήλωση που έχει απλά επιλεγμένα μαθήματα και έχει αποθηκευτεί χωρίς την αποστολή </w:t>
      </w: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>δεν έχει ολοκληρωθεί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.</w:t>
      </w:r>
    </w:p>
    <w:p w:rsidR="00DF3E37" w:rsidRP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Μετά την </w:t>
      </w: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αποστολή 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της δήλωσης οι σπουδαστές έχουν την δυνατότητα της διόρθωσης εκ νέου της δήλωσής τους για το διάστημα που είναι ανοικτό το σύστημα των ηλεκτρονικών δηλώσεων.</w:t>
      </w:r>
    </w:p>
    <w:p w:rsidR="00DF3E37" w:rsidRP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Μετά την αποστολή της δήλωσης οι σπουδαστές πρέπει να εκτυπώσουν την ιστοσελίδα που εμφανίζει την απεσταλμένη δήλωση μαθημάτων σύμφωνα με τα παρακάτω βήματα/επιλογές:</w:t>
      </w:r>
    </w:p>
    <w:p w:rsidR="00DF3E37" w:rsidRPr="00DF3E37" w:rsidRDefault="00DF3E37" w:rsidP="00DF3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val="en-US" w:eastAsia="el-GR"/>
        </w:rPr>
      </w:pP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Εισ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 xml:space="preserve">αγωγή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στη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 xml:space="preserve">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δήλωση</w:t>
      </w:r>
      <w:proofErr w:type="spellEnd"/>
    </w:p>
    <w:p w:rsidR="00DF3E37" w:rsidRPr="00DF3E37" w:rsidRDefault="00DF3E37" w:rsidP="00DF3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val="en-US"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Απ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οστολή</w:t>
      </w:r>
      <w:proofErr w:type="spellEnd"/>
    </w:p>
    <w:p w:rsidR="00DF3E37" w:rsidRPr="00DF3E37" w:rsidRDefault="00DF3E37" w:rsidP="00DF3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val="en-US"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 xml:space="preserve">Η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δήλωσή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 xml:space="preserve">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μου</w:t>
      </w:r>
      <w:proofErr w:type="spellEnd"/>
    </w:p>
    <w:p w:rsidR="00DF3E37" w:rsidRPr="00DF3E37" w:rsidRDefault="00DF3E37" w:rsidP="00DF3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val="en-US" w:eastAsia="el-GR"/>
        </w:rPr>
      </w:pP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Μενού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 xml:space="preserve">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Αρχείο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/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Εκτύ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πωση</w:t>
      </w:r>
    </w:p>
    <w:p w:rsidR="00DF3E37" w:rsidRP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Η εκτύπωση αυτή χρησιμοποιείται σαν αποδεικτικό ότι ο σπουδαστής έχει υποβάλλει δήλωση.</w:t>
      </w:r>
    </w:p>
    <w:p w:rsidR="00DF3E37" w:rsidRP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>ΔΩΣΤΕ ΠΡΟΣΟΧΗ ΣΤΗΝ ΑΠΟΘΗΚΕΥΣΗ ΤΗΣ ΔΗΛΩΣΗΣ ΣΑΣ ΣΤΟ ΣΥΣΤΗΜΑ</w:t>
      </w:r>
    </w:p>
    <w:p w:rsidR="007A738E" w:rsidRPr="007A738E" w:rsidRDefault="007A738E" w:rsidP="007A738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15"/>
          <w:szCs w:val="15"/>
          <w:lang w:eastAsia="el-GR"/>
        </w:rPr>
      </w:pP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>Σ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ύμφων</w:t>
      </w:r>
      <w:proofErr w:type="spellEnd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με</w:t>
      </w:r>
      <w:proofErr w:type="spellEnd"/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τις</w:t>
      </w:r>
      <w:proofErr w:type="spellEnd"/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δι</w:t>
      </w:r>
      <w:proofErr w:type="spellEnd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ατάξεις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του</w:t>
      </w:r>
      <w:proofErr w:type="spellEnd"/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άρθρου</w:t>
      </w:r>
      <w:proofErr w:type="spellEnd"/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33,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πα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ράγρ</w:t>
      </w:r>
      <w:proofErr w:type="spellEnd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αφος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2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του</w:t>
      </w:r>
      <w:proofErr w:type="spellEnd"/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Ν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. 4009/2011,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όσοι</w:t>
      </w:r>
      <w:proofErr w:type="spellEnd"/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σπ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ουδ</w:t>
      </w:r>
      <w:proofErr w:type="spellEnd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αστές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δεν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εγγραφούν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για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δύο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συνεχόμενα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εξάμηνα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αυτοδίκαια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διαγράφονται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>.</w:t>
      </w:r>
    </w:p>
    <w:p w:rsidR="00DF3E37" w:rsidRP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Με βάση την ισχύουσα νομοθεσία τα μαθήματα πρέπει να δηλωθούν με σειρά προτεραιότητας σύμφωνα με το τυπικό πρόγραμμα σπουδών κατά την πορεία των σπουδών. Δηλαδή πρώτα τα μαθήματα </w:t>
      </w:r>
      <w:r>
        <w:rPr>
          <w:rFonts w:ascii="Helvetica" w:eastAsia="Times New Roman" w:hAnsi="Helvetica" w:cs="Helvetica"/>
          <w:sz w:val="15"/>
          <w:szCs w:val="15"/>
          <w:lang w:eastAsia="el-GR"/>
        </w:rPr>
        <w:t>του 2</w:t>
      </w:r>
      <w:r w:rsidRPr="00DF3E37">
        <w:rPr>
          <w:rFonts w:ascii="Helvetica" w:eastAsia="Times New Roman" w:hAnsi="Helvetica" w:cs="Helvetica"/>
          <w:sz w:val="15"/>
          <w:szCs w:val="15"/>
          <w:vertAlign w:val="superscript"/>
          <w:lang w:eastAsia="el-GR"/>
        </w:rPr>
        <w:t>ου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,</w:t>
      </w:r>
      <w:r>
        <w:rPr>
          <w:rFonts w:ascii="Helvetica" w:eastAsia="Times New Roman" w:hAnsi="Helvetica" w:cs="Helvetica"/>
          <w:sz w:val="15"/>
          <w:szCs w:val="15"/>
          <w:lang w:eastAsia="el-GR"/>
        </w:rPr>
        <w:t xml:space="preserve"> 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και στη συνέχεια</w:t>
      </w:r>
      <w:r>
        <w:rPr>
          <w:rFonts w:ascii="Helvetica" w:eastAsia="Times New Roman" w:hAnsi="Helvetica" w:cs="Helvetica"/>
          <w:sz w:val="15"/>
          <w:szCs w:val="15"/>
          <w:lang w:eastAsia="el-GR"/>
        </w:rPr>
        <w:t xml:space="preserve"> του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 4</w:t>
      </w:r>
      <w:r w:rsidRPr="00DF3E37">
        <w:rPr>
          <w:rFonts w:ascii="Helvetica" w:eastAsia="Times New Roman" w:hAnsi="Helvetica" w:cs="Helvetica"/>
          <w:sz w:val="15"/>
          <w:szCs w:val="15"/>
          <w:vertAlign w:val="superscript"/>
          <w:lang w:eastAsia="el-GR"/>
        </w:rPr>
        <w:t>ου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, </w:t>
      </w:r>
      <w:r>
        <w:rPr>
          <w:rFonts w:ascii="Helvetica" w:eastAsia="Times New Roman" w:hAnsi="Helvetica" w:cs="Helvetica"/>
          <w:sz w:val="15"/>
          <w:szCs w:val="15"/>
          <w:lang w:eastAsia="el-GR"/>
        </w:rPr>
        <w:t xml:space="preserve">και  του 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6</w:t>
      </w:r>
      <w:r w:rsidRPr="00DF3E37">
        <w:rPr>
          <w:rFonts w:ascii="Helvetica" w:eastAsia="Times New Roman" w:hAnsi="Helvetica" w:cs="Helvetica"/>
          <w:sz w:val="15"/>
          <w:szCs w:val="15"/>
          <w:vertAlign w:val="superscript"/>
          <w:lang w:eastAsia="el-GR"/>
        </w:rPr>
        <w:t>ου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, εάν υπάρχουν διαθέσιμες διδακτικές μονάδες.</w:t>
      </w:r>
      <w:bookmarkStart w:id="0" w:name="_GoBack"/>
      <w:bookmarkEnd w:id="0"/>
    </w:p>
    <w:p w:rsid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Οι διδακτικές μονάδες των μαθημάτων </w:t>
      </w:r>
      <w:r>
        <w:rPr>
          <w:rFonts w:ascii="Helvetica" w:eastAsia="Times New Roman" w:hAnsi="Helvetica" w:cs="Helvetica"/>
          <w:sz w:val="15"/>
          <w:szCs w:val="15"/>
          <w:lang w:eastAsia="el-GR"/>
        </w:rPr>
        <w:t>για το εαρινό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 εξάμηνο του </w:t>
      </w:r>
      <w:proofErr w:type="spellStart"/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>Ακαδ</w:t>
      </w:r>
      <w:proofErr w:type="spellEnd"/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. Έτους </w:t>
      </w:r>
      <w:r>
        <w:rPr>
          <w:rFonts w:ascii="Helvetica" w:eastAsia="Times New Roman" w:hAnsi="Helvetica" w:cs="Helvetica"/>
          <w:sz w:val="15"/>
          <w:szCs w:val="15"/>
          <w:lang w:eastAsia="el-GR"/>
        </w:rPr>
        <w:t>2014-15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 ανέρχονται στις </w:t>
      </w:r>
      <w:r w:rsidRPr="00DF3E37">
        <w:rPr>
          <w:rFonts w:ascii="Helvetica" w:eastAsia="Times New Roman" w:hAnsi="Helvetica" w:cs="Helvetica"/>
          <w:sz w:val="15"/>
          <w:szCs w:val="15"/>
          <w:lang w:val="en-US" w:eastAsia="el-GR"/>
        </w:rPr>
        <w:t> </w:t>
      </w:r>
      <w:r w:rsidRPr="00DF3E37">
        <w:rPr>
          <w:rFonts w:ascii="Helvetica" w:eastAsia="Times New Roman" w:hAnsi="Helvetica" w:cs="Helvetica"/>
          <w:b/>
          <w:sz w:val="15"/>
          <w:szCs w:val="15"/>
          <w:lang w:eastAsia="el-GR"/>
        </w:rPr>
        <w:t>38 διδακτικές μονάδες για ΟΛΟΥΣ  τους φοιτητές</w:t>
      </w:r>
      <w:r w:rsidRPr="00DF3E37">
        <w:rPr>
          <w:rFonts w:ascii="Helvetica" w:eastAsia="Times New Roman" w:hAnsi="Helvetica" w:cs="Helvetica"/>
          <w:sz w:val="15"/>
          <w:szCs w:val="15"/>
          <w:lang w:eastAsia="el-GR"/>
        </w:rPr>
        <w:t xml:space="preserve"> </w:t>
      </w:r>
    </w:p>
    <w:p w:rsidR="007A738E" w:rsidRPr="007A738E" w:rsidRDefault="007A738E" w:rsidP="007A738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15"/>
          <w:szCs w:val="15"/>
          <w:lang w:eastAsia="el-GR"/>
        </w:rPr>
      </w:pP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ΠΡΟΣΟΧΗ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: Στο σύνολο των ΔΜ περιλαμβάνονται και τα τυχόν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εργ</w:t>
      </w:r>
      <w:proofErr w:type="spellEnd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αστήρια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που έχετε ήδη εγγραφεί για να παρακολουθήσετε και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τα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οπ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οί</w:t>
      </w:r>
      <w:proofErr w:type="spellEnd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δηλώνοντ</w:t>
      </w:r>
      <w:proofErr w:type="spellEnd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αιτώρα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μα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ζί</w:t>
      </w:r>
      <w:proofErr w:type="spellEnd"/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με</w:t>
      </w:r>
      <w:proofErr w:type="spellEnd"/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τα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θεωρητικά</w:t>
      </w:r>
      <w:proofErr w:type="spellEnd"/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 xml:space="preserve"> </w:t>
      </w:r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μα</w:t>
      </w:r>
      <w:proofErr w:type="spellStart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θήμ</w:t>
      </w:r>
      <w:proofErr w:type="spellEnd"/>
      <w:r w:rsidRPr="007A738E">
        <w:rPr>
          <w:rFonts w:ascii="Helvetica" w:eastAsia="Times New Roman" w:hAnsi="Helvetica" w:cs="Helvetica" w:hint="eastAsia"/>
          <w:b/>
          <w:sz w:val="15"/>
          <w:szCs w:val="15"/>
          <w:lang w:eastAsia="el-GR"/>
        </w:rPr>
        <w:t>ατα</w:t>
      </w:r>
      <w:r w:rsidRPr="007A738E">
        <w:rPr>
          <w:rFonts w:ascii="Helvetica" w:eastAsia="Times New Roman" w:hAnsi="Helvetica" w:cs="Helvetica"/>
          <w:b/>
          <w:sz w:val="15"/>
          <w:szCs w:val="15"/>
          <w:lang w:eastAsia="el-GR"/>
        </w:rPr>
        <w:t>.</w:t>
      </w:r>
    </w:p>
    <w:p w:rsidR="00DF3E37" w:rsidRDefault="00DF3E37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</w:pP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>Σημειώνεται ότι στην εξεταστική περίοδο του Σεπτεμβρίου 201</w:t>
      </w:r>
      <w:r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>5</w:t>
      </w:r>
      <w:r w:rsidRPr="00DF3E37"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 xml:space="preserve"> θα μπορούν να εξεταστούν μόνο τα </w:t>
      </w:r>
      <w:r>
        <w:rPr>
          <w:rFonts w:ascii="Helvetica" w:eastAsia="Times New Roman" w:hAnsi="Helvetica" w:cs="Helvetica"/>
          <w:b/>
          <w:bCs/>
          <w:sz w:val="15"/>
          <w:szCs w:val="15"/>
          <w:lang w:eastAsia="el-GR"/>
        </w:rPr>
        <w:t>δηλωθέντα μαθήματα των φοιτητών σύμφωνα με τις δηλώσεις που κατέθεσαν στο χειμερινό και στο εαρινό εξάμηνο αντίστοιχα.</w:t>
      </w:r>
    </w:p>
    <w:p w:rsidR="00C211ED" w:rsidRPr="007A738E" w:rsidRDefault="00C211ED" w:rsidP="00C211ED">
      <w:pPr>
        <w:pStyle w:val="Web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b/>
          <w:bCs/>
          <w:sz w:val="15"/>
          <w:szCs w:val="15"/>
          <w:lang w:val="en-US"/>
        </w:rPr>
        <w:t> </w:t>
      </w:r>
    </w:p>
    <w:p w:rsidR="00C211ED" w:rsidRDefault="00C211ED" w:rsidP="00C211ED">
      <w:pPr>
        <w:pStyle w:val="Web"/>
        <w:rPr>
          <w:rFonts w:ascii="Helvetica" w:hAnsi="Helvetica" w:cs="Helvetica"/>
          <w:sz w:val="15"/>
          <w:szCs w:val="15"/>
          <w:lang w:val="en-US"/>
        </w:rPr>
      </w:pPr>
      <w:r>
        <w:rPr>
          <w:rFonts w:ascii="Helvetica" w:hAnsi="Helvetica" w:cs="Helvetica"/>
          <w:b/>
          <w:bCs/>
          <w:sz w:val="15"/>
          <w:szCs w:val="15"/>
          <w:lang w:val="en-US"/>
        </w:rPr>
        <w:lastRenderedPageBreak/>
        <w:t>ΕΠΙΣΥΝΑΠΤΟΝΤΑΙ ΟΙ ΑΛΥΣΙΔΕΣ ΜΑΘΗΜΑΤΩΝ</w:t>
      </w:r>
      <w:r>
        <w:rPr>
          <w:rFonts w:ascii="Helvetica" w:hAnsi="Helvetica" w:cs="Helvetica"/>
          <w:noProof/>
          <w:color w:val="0000FF"/>
          <w:sz w:val="15"/>
          <w:szCs w:val="15"/>
        </w:rPr>
        <w:drawing>
          <wp:inline distT="0" distB="0" distL="0" distR="0" wp14:anchorId="67982E08" wp14:editId="542AE656">
            <wp:extent cx="2066925" cy="2857500"/>
            <wp:effectExtent l="0" t="0" r="9525" b="0"/>
            <wp:docPr id="2" name="Εικόνα 2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ED" w:rsidRDefault="00C211ED" w:rsidP="00DF3E3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5"/>
          <w:szCs w:val="15"/>
          <w:lang w:eastAsia="el-GR"/>
        </w:rPr>
      </w:pPr>
    </w:p>
    <w:p w:rsidR="007103EB" w:rsidRDefault="007103EB"/>
    <w:sectPr w:rsidR="00710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111"/>
    <w:multiLevelType w:val="multilevel"/>
    <w:tmpl w:val="8FE8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A45E2"/>
    <w:multiLevelType w:val="multilevel"/>
    <w:tmpl w:val="4C02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37"/>
    <w:rsid w:val="007103EB"/>
    <w:rsid w:val="007A738E"/>
    <w:rsid w:val="00C211ED"/>
    <w:rsid w:val="00D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3E3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2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3E3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2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stics.teiste.gr/wp-content/uploads/2014/03/Picture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gram.teilam.gr/uni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ste.g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family</dc:creator>
  <cp:lastModifiedBy>happy family</cp:lastModifiedBy>
  <cp:revision>3</cp:revision>
  <dcterms:created xsi:type="dcterms:W3CDTF">2015-02-23T09:48:00Z</dcterms:created>
  <dcterms:modified xsi:type="dcterms:W3CDTF">2015-02-23T10:04:00Z</dcterms:modified>
</cp:coreProperties>
</file>